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1"/>
        <w:numPr>
          <w:ilvl w:val="0"/>
          <w:numId w:val="3"/>
        </w:numPr>
        <w:spacing w:before="240" w:after="120"/>
        <w:rPr/>
      </w:pPr>
      <w:r>
        <w:rPr/>
        <w:t>Création d’un compte utilisateur</w:t>
      </w:r>
    </w:p>
    <w:p>
      <w:pPr>
        <w:pStyle w:val="Corpsdetexte"/>
        <w:spacing w:before="240" w:after="120"/>
        <w:rPr>
          <w:rFonts w:ascii="Liberation Sans" w:hAnsi="Liberation Sans"/>
        </w:rPr>
      </w:pPr>
      <w:r>
        <w:rPr>
          <w:rFonts w:ascii="Liberation Sans" w:hAnsi="Liberation Sans"/>
        </w:rPr>
        <w:t xml:space="preserve">URL de l’application : </w:t>
      </w:r>
      <w:hyperlink r:id="rId2">
        <w:r>
          <w:rPr>
            <w:rStyle w:val="LienInternet"/>
            <w:rFonts w:ascii="Liberation Sans" w:hAnsi="Liberation Sans"/>
          </w:rPr>
          <w:t>https://geoportail.interreg-alarm.eu/mapfishapp/</w:t>
        </w:r>
      </w:hyperlink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t>1) Cliquer sur «</w:t>
      </w:r>
      <w:r>
        <w:rPr>
          <w:rFonts w:ascii="Liberation Sans" w:hAnsi="Liberation Sans"/>
          <w:b/>
          <w:bCs/>
        </w:rPr>
        <w:t> Connexion </w:t>
      </w:r>
      <w:r>
        <w:rPr>
          <w:rFonts w:ascii="Liberation Sans" w:hAnsi="Liberation Sans"/>
        </w:rPr>
        <w:t>» en haut à droite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17905" cy="91440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t>2) Cliquer sur « </w:t>
      </w:r>
      <w:r>
        <w:rPr>
          <w:rFonts w:ascii="Liberation Sans" w:hAnsi="Liberation Sans"/>
          <w:b/>
          <w:bCs/>
        </w:rPr>
        <w:t>S’inscrire</w:t>
      </w:r>
      <w:r>
        <w:rPr>
          <w:rFonts w:ascii="Liberation Sans" w:hAnsi="Liberation Sans"/>
        </w:rPr>
        <w:t> »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93465" cy="260604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re1"/>
        <w:numPr>
          <w:ilvl w:val="0"/>
          <w:numId w:val="3"/>
        </w:numPr>
        <w:rPr>
          <w:rFonts w:ascii="Liberation Sans" w:hAnsi="Liberation Sans"/>
        </w:rPr>
      </w:pPr>
      <w:r>
        <w:rPr/>
      </w:r>
    </w:p>
    <w:p>
      <w:pPr>
        <w:pStyle w:val="Titre1"/>
        <w:numPr>
          <w:ilvl w:val="0"/>
          <w:numId w:val="3"/>
        </w:numPr>
        <w:rPr>
          <w:rFonts w:ascii="Liberation Sans" w:hAnsi="Liberation Sans"/>
        </w:rPr>
      </w:pPr>
      <w:r>
        <w:rPr/>
      </w:r>
    </w:p>
    <w:p>
      <w:pPr>
        <w:pStyle w:val="Titre1"/>
        <w:numPr>
          <w:ilvl w:val="0"/>
          <w:numId w:val="3"/>
        </w:numPr>
        <w:rPr>
          <w:rFonts w:ascii="Liberation Sans" w:hAnsi="Liberation Sans"/>
        </w:rPr>
      </w:pPr>
      <w:r>
        <w:rPr/>
      </w:r>
    </w:p>
    <w:p>
      <w:pPr>
        <w:pStyle w:val="Titre1"/>
        <w:numPr>
          <w:ilvl w:val="0"/>
          <w:numId w:val="3"/>
        </w:numPr>
        <w:rPr>
          <w:rFonts w:ascii="Liberation Sans" w:hAnsi="Liberation Sans"/>
        </w:rPr>
      </w:pPr>
      <w:r>
        <w:rPr/>
      </w:r>
    </w:p>
    <w:p>
      <w:pPr>
        <w:pStyle w:val="Titre1"/>
        <w:numPr>
          <w:ilvl w:val="0"/>
          <w:numId w:val="3"/>
        </w:numPr>
        <w:rPr>
          <w:rFonts w:ascii="Liberation Sans" w:hAnsi="Liberation Sans"/>
        </w:rPr>
      </w:pPr>
      <w:r>
        <w:rPr/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t>Les champs marqués d’une astérisque sont obligatoires.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t>L’organisme dont fait partie l’utilisateur doit être mentionné (créé par l’administrateur du site) et devrait être présent dans la liste déroulante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t xml:space="preserve">Remarque : 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numPr>
          <w:ilvl w:val="0"/>
          <w:numId w:val="4"/>
        </w:numPr>
        <w:rPr>
          <w:rFonts w:ascii="Liberation Sans" w:hAnsi="Liberation Sans"/>
        </w:rPr>
      </w:pPr>
      <w:r>
        <w:rPr>
          <w:rFonts w:ascii="Liberation Sans" w:hAnsi="Liberation Sans"/>
        </w:rPr>
        <w:t>le login est au choix mais pour plus de clarté pour la gestion du site, le format « prénom.nom » (ou « p.nom ») est préférable.</w:t>
      </w:r>
    </w:p>
    <w:p>
      <w:pPr>
        <w:pStyle w:val="Normal"/>
        <w:numPr>
          <w:ilvl w:val="0"/>
          <w:numId w:val="4"/>
        </w:numPr>
        <w:rPr>
          <w:rFonts w:ascii="Liberation Sans" w:hAnsi="Liberation Sans"/>
        </w:rPr>
      </w:pPr>
      <w:r>
        <w:rPr>
          <w:rFonts w:ascii="Liberation Sans" w:hAnsi="Liberation Sans"/>
        </w:rPr>
        <w:t>Le courriel est UNIQUE dans tout le système et ne peut pas être réutilisée pour un deuxième compte.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t>3) Cliquer sur «</w:t>
      </w:r>
      <w:r>
        <w:rPr>
          <w:rFonts w:ascii="Liberation Sans" w:hAnsi="Liberation Sans"/>
          <w:b/>
          <w:bCs/>
        </w:rPr>
        <w:t> Envoyer </w:t>
      </w:r>
      <w:r>
        <w:rPr>
          <w:rFonts w:ascii="Liberation Sans" w:hAnsi="Liberation Sans"/>
        </w:rPr>
        <w:t>»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t>L’administrateur du site et tout utilisateur ayant un rôle de délégation (attribué par l’administrateur) pour l’organisme sélectionné recevront un email les avertissant de la création du nouveau compte utilisateur.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/>
      </w:pPr>
      <w:r>
        <w:rPr>
          <w:rFonts w:ascii="Liberation Sans" w:hAnsi="Liberation Sans"/>
        </w:rPr>
        <w:t>Seuls ces deux types de personnes peuvent effectivement activer le compte via l’onglet « </w:t>
      </w:r>
      <w:r>
        <w:rPr>
          <w:rFonts w:ascii="Liberation Sans" w:hAnsi="Liberation Sans"/>
          <w:b/>
          <w:bCs/>
        </w:rPr>
        <w:t>Administration | Utilisateurs</w:t>
      </w:r>
      <w:r>
        <w:rPr>
          <w:rFonts w:ascii="Liberation Sans" w:hAnsi="Liberation Sans"/>
        </w:rPr>
        <w:t> » et permettre l’accès au site : dans le tableau de bord, une zone rouge indique les utilisateurs en attente.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127760" cy="719455"/>
            <wp:effectExtent l="0" t="0" r="0" b="0"/>
            <wp:wrapSquare wrapText="largest"/>
            <wp:docPr id="3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/>
      </w:pPr>
      <w:r>
        <w:rPr>
          <w:rFonts w:ascii="Liberation Sans" w:hAnsi="Liberation Sans"/>
        </w:rPr>
        <w:t>Cliquer « </w:t>
      </w:r>
      <w:r>
        <w:rPr>
          <w:rFonts w:ascii="Liberation Sans" w:hAnsi="Liberation Sans"/>
          <w:b/>
          <w:bCs/>
        </w:rPr>
        <w:t>Voir et Gérer </w:t>
      </w:r>
      <w:r>
        <w:rPr>
          <w:rFonts w:ascii="Liberation Sans" w:hAnsi="Liberation Sans"/>
        </w:rPr>
        <w:t>» affiche la liste des utilisateurs en attente d’activation. Cliquer sur chaque utilisateur concerné, puis sur «</w:t>
      </w:r>
      <w:r>
        <w:rPr>
          <w:rFonts w:ascii="Liberation Sans" w:hAnsi="Liberation Sans"/>
          <w:b/>
          <w:bCs/>
        </w:rPr>
        <w:t> Confirmer </w:t>
      </w:r>
      <w:r>
        <w:rPr>
          <w:rFonts w:ascii="Liberation Sans" w:hAnsi="Liberation Sans"/>
        </w:rPr>
        <w:t>» =&gt; l’utilisateur peut désormais se connecter à l’application.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90290" cy="609600"/>
            <wp:effectExtent l="0" t="0" r="0" b="0"/>
            <wp:wrapSquare wrapText="largest"/>
            <wp:docPr id="4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Titre1"/>
        <w:numPr>
          <w:ilvl w:val="0"/>
          <w:numId w:val="3"/>
        </w:numPr>
        <w:rPr/>
      </w:pPr>
      <w:r>
        <w:rPr/>
      </w:r>
    </w:p>
    <w:p>
      <w:pPr>
        <w:pStyle w:val="Titre1"/>
        <w:numPr>
          <w:ilvl w:val="0"/>
          <w:numId w:val="3"/>
        </w:numPr>
        <w:rPr>
          <w:rFonts w:ascii="Liberation Sans" w:hAnsi="Liberation Sans"/>
        </w:rPr>
      </w:pPr>
      <w:r>
        <w:rPr/>
        <w:t>Simulation d’un accident de matière dangereuse et requête population impactée</w:t>
      </w:r>
    </w:p>
    <w:p>
      <w:pPr>
        <w:pStyle w:val="Corpsdetexte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t>1) Créer un accident sur la carte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numPr>
          <w:ilvl w:val="0"/>
          <w:numId w:val="5"/>
        </w:numPr>
        <w:rPr/>
      </w:pPr>
      <w:r>
        <w:rPr>
          <w:rFonts w:ascii="Liberation Sans" w:hAnsi="Liberation Sans"/>
        </w:rPr>
        <w:t>Sélectionner l’outil « </w:t>
      </w:r>
      <w:r>
        <w:rPr>
          <w:rFonts w:ascii="Liberation Sans" w:hAnsi="Liberation Sans"/>
          <w:b/>
          <w:bCs/>
        </w:rPr>
        <w:t>Simulation accident tmd </w:t>
      </w:r>
      <w:r>
        <w:rPr>
          <w:rFonts w:ascii="Liberation Sans" w:hAnsi="Liberation Sans"/>
        </w:rPr>
        <w:t>» (losange rouge)</w:t>
      </w:r>
    </w:p>
    <w:p>
      <w:pPr>
        <w:pStyle w:val="Normal"/>
        <w:numPr>
          <w:ilvl w:val="0"/>
          <w:numId w:val="5"/>
        </w:numPr>
        <w:rPr/>
      </w:pPr>
      <w:r>
        <w:rPr>
          <w:rFonts w:ascii="Liberation Sans" w:hAnsi="Liberation Sans"/>
        </w:rPr>
        <w:t>Sélectionner un type de matière/véhicule puis le positionner en cliquant sur la carte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tab/>
        <w:t>=&gt; cercles concentriques + isochrones 7 et 12 minutes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52160" cy="2667000"/>
            <wp:effectExtent l="0" t="0" r="0" b="0"/>
            <wp:wrapSquare wrapText="largest"/>
            <wp:docPr id="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t>3) Sélectionner la/les zone/s et enregistrer la géométrie</w:t>
      </w:r>
    </w:p>
    <w:p>
      <w:pPr>
        <w:pStyle w:val="Normal"/>
        <w:rPr>
          <w:rFonts w:ascii="DejaVu Sans" w:hAnsi="DejaVu Sans"/>
        </w:rPr>
      </w:pPr>
      <w:r>
        <w:rPr>
          <w:rFonts w:ascii="DejaVu Sans" w:hAnsi="DejaVu Sans"/>
        </w:rPr>
      </w:r>
    </w:p>
    <w:p>
      <w:pPr>
        <w:pStyle w:val="Normal"/>
        <w:numPr>
          <w:ilvl w:val="0"/>
          <w:numId w:val="6"/>
        </w:numPr>
        <w:rPr/>
      </w:pPr>
      <w:r>
        <w:rPr>
          <w:rFonts w:ascii="Liberation Sans" w:hAnsi="Liberation Sans"/>
        </w:rPr>
        <w:t>Cliquer sur l’icône « </w:t>
      </w:r>
      <w:r>
        <w:rPr>
          <w:rFonts w:ascii="Liberation Sans" w:hAnsi="Liberation Sans"/>
          <w:b/>
          <w:bCs/>
        </w:rPr>
        <w:t>i</w:t>
      </w:r>
      <w:r>
        <w:rPr>
          <w:rFonts w:ascii="Liberation Sans" w:hAnsi="Liberation Sans"/>
        </w:rPr>
        <w:t> » bleue de la couche TMD</w:t>
      </w:r>
    </w:p>
    <w:p>
      <w:pPr>
        <w:pStyle w:val="Normal"/>
        <w:numPr>
          <w:ilvl w:val="0"/>
          <w:numId w:val="6"/>
        </w:numPr>
        <w:rPr/>
      </w:pPr>
      <w:r>
        <w:rPr>
          <w:rFonts w:ascii="Liberation Sans" w:hAnsi="Liberation Sans"/>
        </w:rPr>
        <w:t>Sélectionner la(les) zone(s) voulues =&gt; liste en-dessous de la carte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52160" cy="2682240"/>
            <wp:effectExtent l="0" t="0" r="0" b="0"/>
            <wp:wrapSquare wrapText="largest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6"/>
        </w:numPr>
        <w:rPr/>
      </w:pPr>
      <w:r>
        <w:rPr>
          <w:rFonts w:ascii="Liberation Sans" w:hAnsi="Liberation Sans"/>
        </w:rPr>
        <w:t>Enregistrer les géométries sélectionnées via le menu « </w:t>
      </w:r>
      <w:r>
        <w:rPr>
          <w:rFonts w:ascii="Liberation Sans" w:hAnsi="Liberation Sans"/>
          <w:b/>
          <w:bCs/>
        </w:rPr>
        <w:t>Action | Enregistrer la géométrie</w:t>
      </w:r>
      <w:r>
        <w:rPr>
          <w:rFonts w:ascii="Liberation Sans" w:hAnsi="Liberation Sans"/>
        </w:rPr>
        <w:t> » (tout en-bas à droite)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t>4) Construire la requête spatiale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numPr>
          <w:ilvl w:val="0"/>
          <w:numId w:val="7"/>
        </w:numPr>
        <w:rPr/>
      </w:pPr>
      <w:r>
        <w:rPr>
          <w:rFonts w:ascii="Liberation Sans" w:hAnsi="Liberation Sans"/>
        </w:rPr>
        <w:t>Sélectionner menu « </w:t>
      </w:r>
      <w:r>
        <w:rPr>
          <w:rFonts w:ascii="Liberation Sans" w:hAnsi="Liberation Sans"/>
          <w:b/>
          <w:bCs/>
        </w:rPr>
        <w:t>Action | Construire une requête »</w:t>
      </w:r>
      <w:r>
        <w:rPr>
          <w:rFonts w:ascii="Liberation Sans" w:hAnsi="Liberation Sans"/>
        </w:rPr>
        <w:t xml:space="preserve"> de la couche Population</w:t>
      </w:r>
    </w:p>
    <w:p>
      <w:pPr>
        <w:pStyle w:val="Normal"/>
        <w:numPr>
          <w:ilvl w:val="0"/>
          <w:numId w:val="7"/>
        </w:numPr>
        <w:rPr/>
      </w:pPr>
      <w:r>
        <w:rPr>
          <w:rFonts w:ascii="Liberation Sans" w:hAnsi="Liberation Sans"/>
        </w:rPr>
        <w:t>Supprimer la condition vide (elle ne sert pas pour notre exemple) en cliquant sur le « </w:t>
      </w:r>
      <w:r>
        <w:rPr>
          <w:rFonts w:ascii="Liberation Sans" w:hAnsi="Liberation Sans"/>
          <w:b/>
          <w:bCs/>
        </w:rPr>
        <w:t>-</w:t>
      </w:r>
      <w:r>
        <w:rPr>
          <w:rFonts w:ascii="Liberation Sans" w:hAnsi="Liberation Sans"/>
        </w:rPr>
        <w:t> » rouge</w:t>
      </w:r>
    </w:p>
    <w:p>
      <w:pPr>
        <w:pStyle w:val="Normal"/>
        <w:numPr>
          <w:ilvl w:val="0"/>
          <w:numId w:val="7"/>
        </w:numPr>
        <w:rPr/>
      </w:pPr>
      <w:r>
        <w:rPr>
          <w:rFonts w:ascii="Liberation Sans" w:hAnsi="Liberation Sans"/>
        </w:rPr>
        <w:t>Sélectionner le menu « </w:t>
      </w:r>
      <w:r>
        <w:rPr>
          <w:rFonts w:ascii="Liberation Sans" w:hAnsi="Liberation Sans"/>
          <w:b/>
          <w:bCs/>
        </w:rPr>
        <w:t>Condition spatiale | Basée sur une géométrie stockée</w:t>
      </w:r>
      <w:r>
        <w:rPr>
          <w:rFonts w:ascii="Liberation Sans" w:hAnsi="Liberation Sans"/>
        </w:rPr>
        <w:t> » =&gt; condition « </w:t>
      </w:r>
      <w:r>
        <w:rPr>
          <w:rFonts w:ascii="Liberation Sans" w:hAnsi="Liberation Sans"/>
          <w:b/>
          <w:bCs/>
        </w:rPr>
        <w:t>intersection avec</w:t>
      </w:r>
      <w:r>
        <w:rPr>
          <w:rFonts w:ascii="Liberation Sans" w:hAnsi="Liberation Sans"/>
        </w:rPr>
        <w:t> » (les géométries stockées sont toujours celles enregistrées en dernier lieu)</w:t>
      </w:r>
    </w:p>
    <w:p>
      <w:pPr>
        <w:pStyle w:val="Normal"/>
        <w:numPr>
          <w:ilvl w:val="0"/>
          <w:numId w:val="7"/>
        </w:numPr>
        <w:rPr/>
      </w:pPr>
      <w:r>
        <w:rPr>
          <w:rFonts w:ascii="Liberation Sans" w:hAnsi="Liberation Sans"/>
        </w:rPr>
        <w:t>Cliquer sur «</w:t>
      </w:r>
      <w:r>
        <w:rPr>
          <w:rFonts w:ascii="Liberation Sans" w:hAnsi="Liberation Sans"/>
          <w:b/>
          <w:bCs/>
        </w:rPr>
        <w:t> Rechercher </w:t>
      </w:r>
      <w:r>
        <w:rPr>
          <w:rFonts w:ascii="Liberation Sans" w:hAnsi="Liberation Sans"/>
        </w:rPr>
        <w:t>» =&gt; liste des zones de population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52160" cy="2679065"/>
            <wp:effectExtent l="0" t="0" r="0" b="0"/>
            <wp:wrapSquare wrapText="largest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Titre1"/>
        <w:numPr>
          <w:ilvl w:val="0"/>
          <w:numId w:val="3"/>
        </w:numPr>
        <w:rPr/>
      </w:pPr>
      <w:r>
        <w:rPr/>
        <w:t>Ajout d’un flux à la carte</w:t>
      </w:r>
    </w:p>
    <w:p>
      <w:pPr>
        <w:pStyle w:val="Corpsdetexte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Corpsdetexte"/>
        <w:rPr/>
      </w:pPr>
      <w:r>
        <w:rPr>
          <w:rFonts w:ascii="Liberation Sans" w:hAnsi="Liberation Sans"/>
        </w:rPr>
        <w:t>1) Cliquer sur « </w:t>
      </w:r>
      <w:r>
        <w:rPr>
          <w:rFonts w:ascii="Liberation Sans" w:hAnsi="Liberation Sans"/>
          <w:b/>
          <w:bCs/>
        </w:rPr>
        <w:t>Ajouter des couches</w:t>
      </w:r>
      <w:r>
        <w:rPr>
          <w:rFonts w:ascii="Liberation Sans" w:hAnsi="Liberation Sans"/>
        </w:rPr>
        <w:t> » (en-dessous de la liste des couches disponibles)</w:t>
      </w:r>
    </w:p>
    <w:p>
      <w:pPr>
        <w:pStyle w:val="Corpsdetexte"/>
        <w:rPr/>
      </w:pPr>
      <w:r>
        <w:rPr>
          <w:rFonts w:ascii="Liberation Sans" w:hAnsi="Liberation Sans"/>
        </w:rPr>
        <w:t>2) Dans l’onglet « </w:t>
      </w:r>
      <w:r>
        <w:rPr>
          <w:rFonts w:ascii="Liberation Sans" w:hAnsi="Liberation Sans"/>
          <w:b/>
          <w:bCs/>
        </w:rPr>
        <w:t>Serveur OGC</w:t>
      </w:r>
      <w:r>
        <w:rPr>
          <w:rFonts w:ascii="Liberation Sans" w:hAnsi="Liberation Sans"/>
        </w:rPr>
        <w:t> », sélectionner le type de serveur (WMS, WMTS ou WFS)</w:t>
      </w:r>
    </w:p>
    <w:p>
      <w:pPr>
        <w:pStyle w:val="Corpsdetexte"/>
        <w:rPr/>
      </w:pPr>
      <w:r>
        <w:rPr>
          <w:rFonts w:ascii="Liberation Sans" w:hAnsi="Liberation Sans"/>
        </w:rPr>
        <w:t>3) Introduire l’URL du service dans le 2ème champs « </w:t>
      </w:r>
      <w:r>
        <w:rPr>
          <w:rFonts w:ascii="Liberation Sans" w:hAnsi="Liberation Sans"/>
          <w:b/>
          <w:bCs/>
        </w:rPr>
        <w:t>...ou saisissez son adresse</w:t>
      </w:r>
      <w:r>
        <w:rPr>
          <w:rFonts w:ascii="Liberation Sans" w:hAnsi="Liberation Sans"/>
        </w:rPr>
        <w:t> » et cliquer sur la loupe pour lancer la recherche du serveur =&gt; la liste des couches disponibles pour ce service sont affichées.</w:t>
      </w:r>
    </w:p>
    <w:p>
      <w:pPr>
        <w:pStyle w:val="Corpsdetexte"/>
        <w:rPr/>
      </w:pPr>
      <w:r>
        <w:rPr>
          <w:rFonts w:ascii="Liberation Sans" w:hAnsi="Liberation Sans"/>
        </w:rPr>
        <w:t>4) Sélectionner une ou plusieurs couches</w:t>
      </w:r>
    </w:p>
    <w:p>
      <w:pPr>
        <w:pStyle w:val="Corpsdetexte"/>
        <w:rPr/>
      </w:pPr>
      <w:r>
        <w:rPr>
          <w:rFonts w:ascii="Liberation Sans" w:hAnsi="Liberation Sans"/>
        </w:rPr>
        <w:t>5) Cliquer sur ajouter =&gt; la ou les couches sélectionnées sont ajoutées en tête de liste</w:t>
      </w:r>
    </w:p>
    <w:p>
      <w:pPr>
        <w:pStyle w:val="Corpsdetexte"/>
        <w:spacing w:before="0" w:after="140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133985</wp:posOffset>
            </wp:positionH>
            <wp:positionV relativeFrom="paragraph">
              <wp:posOffset>109220</wp:posOffset>
            </wp:positionV>
            <wp:extent cx="5852160" cy="2682240"/>
            <wp:effectExtent l="0" t="0" r="0" b="0"/>
            <wp:wrapSquare wrapText="largest"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spacing w:before="0" w:after="140"/>
        <w:rPr/>
      </w:pPr>
      <w:r>
        <w:rPr/>
      </w:r>
    </w:p>
    <w:p>
      <w:pPr>
        <w:pStyle w:val="Titre1"/>
        <w:numPr>
          <w:ilvl w:val="0"/>
          <w:numId w:val="2"/>
        </w:numPr>
        <w:rPr/>
      </w:pPr>
      <w:r>
        <w:rPr/>
        <w:t>Edition de la couche Postes et Centres de Secours</w:t>
      </w:r>
    </w:p>
    <w:p>
      <w:pPr>
        <w:pStyle w:val="Corpsdetexte"/>
        <w:rPr/>
      </w:pPr>
      <w:r>
        <w:rPr/>
      </w:r>
    </w:p>
    <w:p>
      <w:pPr>
        <w:pStyle w:val="Corpsdetexte"/>
        <w:numPr>
          <w:ilvl w:val="0"/>
          <w:numId w:val="8"/>
        </w:numPr>
        <w:rPr/>
      </w:pPr>
      <w:r>
        <w:rPr/>
        <w:t>La couche étant une vue (et donc non modifiable par définition), il faut d’abord ajouter la couche de base via « </w:t>
      </w:r>
      <w:r>
        <w:rPr>
          <w:b/>
          <w:bCs/>
        </w:rPr>
        <w:t>Ajouter des couches</w:t>
      </w:r>
      <w:r>
        <w:rPr/>
        <w:t> » | onglet « </w:t>
      </w:r>
      <w:r>
        <w:rPr>
          <w:b/>
          <w:bCs/>
        </w:rPr>
        <w:t>Serveur OGC</w:t>
      </w:r>
      <w:r>
        <w:rPr/>
        <w:t> » | type «</w:t>
      </w:r>
      <w:r>
        <w:rPr>
          <w:b/>
          <w:bCs/>
        </w:rPr>
        <w:t> WMS </w:t>
      </w:r>
      <w:r>
        <w:rPr/>
        <w:t>» | Choisir « </w:t>
      </w:r>
      <w:r>
        <w:rPr>
          <w:b/>
          <w:bCs/>
        </w:rPr>
        <w:t>Local WMS service</w:t>
      </w:r>
      <w:r>
        <w:rPr/>
        <w:t> » dans la première liste déroulante. Sélectionner la couche « </w:t>
      </w:r>
      <w:r>
        <w:rPr>
          <w:b/>
          <w:bCs/>
        </w:rPr>
        <w:t>Centres et postes de secours/Noodposten</w:t>
      </w:r>
      <w:r>
        <w:rPr/>
        <w:t> » (donc, pas celle qui se termine par « (view) »)</w:t>
      </w:r>
    </w:p>
    <w:p>
      <w:pPr>
        <w:pStyle w:val="Corpsdetexte"/>
        <w:numPr>
          <w:ilvl w:val="0"/>
          <w:numId w:val="8"/>
        </w:numPr>
        <w:rPr/>
      </w:pPr>
      <w:r>
        <w:rPr/>
        <w:t>En fin d’édition, et pour s’assurer de la réussite de l’opération, recharger la couche de la vue des Centres et Postes de Secours via son menu « </w:t>
      </w:r>
      <w:r>
        <w:rPr>
          <w:b/>
          <w:bCs/>
        </w:rPr>
        <w:t>Actions | Recharger la couche</w:t>
      </w:r>
      <w:r>
        <w:rPr/>
        <w:t> »</w:t>
      </w:r>
    </w:p>
    <w:p>
      <w:pPr>
        <w:pStyle w:val="Corpsdetexte"/>
        <w:numPr>
          <w:ilvl w:val="0"/>
          <w:numId w:val="8"/>
        </w:numPr>
        <w:rPr>
          <w:b/>
          <w:b/>
          <w:bCs/>
        </w:rPr>
      </w:pPr>
      <w:r>
        <w:rPr>
          <w:b/>
          <w:bCs/>
        </w:rPr>
        <w:t>SEULES LES 2 COUCHES « CENTRES ET POSTES DE SECOURS » et « CONTACTS COMMUNES » sont éditables par les utilisateurs ayant un rôle de délégation.</w:t>
      </w:r>
    </w:p>
    <w:p>
      <w:pPr>
        <w:pStyle w:val="Corpsdetexte"/>
        <w:rPr/>
      </w:pPr>
      <w:r>
        <w:rPr/>
        <w:t>1) Ajout d’un nouveau poste</w:t>
      </w:r>
    </w:p>
    <w:p>
      <w:pPr>
        <w:pStyle w:val="Corpsdetexte"/>
        <w:numPr>
          <w:ilvl w:val="0"/>
          <w:numId w:val="8"/>
        </w:numPr>
        <w:rPr/>
      </w:pPr>
      <w:r>
        <w:rPr/>
        <w:t>Cliquer sur le bouton «</w:t>
      </w:r>
      <w:r>
        <w:rPr>
          <w:b/>
          <w:bCs/>
        </w:rPr>
        <w:t> Edition </w:t>
      </w:r>
      <w:r>
        <w:rPr/>
        <w:t>» de cette couche qui vient d’être ajoutée à la liste =&gt; « </w:t>
      </w:r>
      <w:r>
        <w:rPr>
          <w:b/>
          <w:bCs/>
        </w:rPr>
        <w:t>Edition en cours</w:t>
      </w:r>
      <w:r>
        <w:rPr/>
        <w:t> » en rouge</w:t>
      </w:r>
    </w:p>
    <w:p>
      <w:pPr>
        <w:pStyle w:val="Corpsdetexte"/>
        <w:numPr>
          <w:ilvl w:val="0"/>
          <w:numId w:val="8"/>
        </w:numPr>
        <w:rPr/>
      </w:pPr>
      <w:r>
        <w:rPr/>
        <w:t>Cliquer sur la petite flèche à côté de « </w:t>
      </w:r>
      <w:r>
        <w:rPr>
          <w:b/>
          <w:bCs/>
        </w:rPr>
        <w:t>Edition en cours</w:t>
      </w:r>
      <w:r>
        <w:rPr/>
        <w:t> » et puis « </w:t>
      </w:r>
      <w:r>
        <w:rPr>
          <w:b/>
          <w:bCs/>
        </w:rPr>
        <w:t>Dessiner un nouveau point</w:t>
      </w:r>
      <w:r>
        <w:rPr/>
        <w:t> »</w:t>
      </w:r>
    </w:p>
    <w:p>
      <w:pPr>
        <w:pStyle w:val="Corpsdetexte"/>
        <w:numPr>
          <w:ilvl w:val="0"/>
          <w:numId w:val="8"/>
        </w:numPr>
        <w:rPr/>
      </w:pPr>
      <w:r>
        <w:rPr/>
        <w:t>Aller sur la carte à l’endroit voulu et cliquer =&gt; un nouveau poste apparaît et une popup permet l’édition des attributs, le déplacement ou la suppression du point</w:t>
      </w:r>
    </w:p>
    <w:p>
      <w:pPr>
        <w:pStyle w:val="Corpsdetexte"/>
        <w:spacing w:before="0" w:after="140"/>
        <w:rPr/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105410</wp:posOffset>
            </wp:positionH>
            <wp:positionV relativeFrom="paragraph">
              <wp:posOffset>56515</wp:posOffset>
            </wp:positionV>
            <wp:extent cx="5852160" cy="2679065"/>
            <wp:effectExtent l="0" t="0" r="0" b="0"/>
            <wp:wrapSquare wrapText="largest"/>
            <wp:docPr id="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</w:t>
      </w:r>
      <w:r>
        <w:rPr/>
        <w:t>) Edition/Déplacement/Suppression d’un poste</w:t>
      </w:r>
    </w:p>
    <w:p>
      <w:pPr>
        <w:pStyle w:val="Corpsdetexte"/>
        <w:numPr>
          <w:ilvl w:val="0"/>
          <w:numId w:val="9"/>
        </w:numPr>
        <w:spacing w:before="0" w:after="140"/>
        <w:rPr/>
      </w:pPr>
      <w:r>
        <w:rPr/>
        <w:t>Si ce n’est déjà fait, cliquer sur le bouton édition de la couche</w:t>
      </w:r>
    </w:p>
    <w:p>
      <w:pPr>
        <w:pStyle w:val="Corpsdetexte"/>
        <w:numPr>
          <w:ilvl w:val="0"/>
          <w:numId w:val="9"/>
        </w:numPr>
        <w:spacing w:before="0" w:after="140"/>
        <w:rPr/>
      </w:pPr>
      <w:r>
        <w:rPr/>
        <w:t>Placer la souris sur le poste désiré =&gt; un rond orange apparaît sur le point</w:t>
      </w:r>
    </w:p>
    <w:p>
      <w:pPr>
        <w:pStyle w:val="Corpsdetexte"/>
        <w:numPr>
          <w:ilvl w:val="0"/>
          <w:numId w:val="9"/>
        </w:numPr>
        <w:spacing w:before="0" w:after="140"/>
        <w:rPr/>
      </w:pPr>
      <w:r>
        <w:rPr/>
        <w:t>Cliquer =&gt; une popup vous permet d’éditer les attributs, de déplacer le point (</w:t>
      </w:r>
      <w:r>
        <w:rPr>
          <w:b/>
          <w:bCs/>
        </w:rPr>
        <w:t>il faut que la popup apparaisse pour pouvoir déplacer le point par drag&amp;drop</w:t>
      </w:r>
      <w:r>
        <w:rPr/>
        <w:t>)</w:t>
      </w:r>
      <w:r>
        <w:rPr>
          <w:b w:val="false"/>
          <w:bCs w:val="false"/>
        </w:rPr>
        <w:t xml:space="preserve"> ou de supprimer le point</w:t>
      </w:r>
    </w:p>
    <w:p>
      <w:pPr>
        <w:pStyle w:val="Corpsdetexte"/>
        <w:numPr>
          <w:ilvl w:val="0"/>
          <w:numId w:val="9"/>
        </w:numPr>
        <w:spacing w:before="0" w:after="140"/>
        <w:rPr/>
      </w:pPr>
      <w:r>
        <w:rPr/>
        <w:t>Chaque fois qu’un champs est modifié, valider avec la touche ENTER</w:t>
      </w:r>
    </w:p>
    <w:p>
      <w:pPr>
        <w:pStyle w:val="Corpsdetexte"/>
        <w:numPr>
          <w:ilvl w:val="0"/>
          <w:numId w:val="9"/>
        </w:numPr>
        <w:spacing w:before="0" w:after="140"/>
        <w:rPr/>
      </w:pPr>
      <w:r>
        <w:rPr/>
        <w:t>Une fois l’édition et/ou le déplacement terminé cliquer sur «</w:t>
      </w:r>
      <w:r>
        <w:rPr>
          <w:b/>
          <w:bCs/>
        </w:rPr>
        <w:t> Enregistrer </w:t>
      </w:r>
      <w:r>
        <w:rPr/>
        <w:t>»</w:t>
      </w:r>
    </w:p>
    <w:p>
      <w:pPr>
        <w:pStyle w:val="Corpsdetexte"/>
        <w:numPr>
          <w:ilvl w:val="0"/>
          <w:numId w:val="9"/>
        </w:numPr>
        <w:spacing w:before="0" w:after="140"/>
        <w:rPr/>
      </w:pPr>
      <w:r>
        <w:rPr/>
        <w:t>Pour terminer proprement, cliquer sur « </w:t>
      </w:r>
      <w:r>
        <w:rPr>
          <w:b/>
          <w:bCs/>
        </w:rPr>
        <w:t>Edition en cours</w:t>
      </w:r>
      <w:r>
        <w:rPr/>
        <w:t> » =&gt; retour à «</w:t>
      </w:r>
      <w:r>
        <w:rPr>
          <w:b/>
          <w:bCs/>
        </w:rPr>
        <w:t> Edition </w:t>
      </w:r>
      <w:r>
        <w:rPr/>
        <w:t>», puis supprimer la couche ajoutée en début de procédure</w:t>
      </w:r>
    </w:p>
    <w:p>
      <w:pPr>
        <w:pStyle w:val="Titre1"/>
        <w:numPr>
          <w:ilvl w:val="0"/>
          <w:numId w:val="2"/>
        </w:numPr>
        <w:rPr/>
      </w:pPr>
      <w:r>
        <w:rPr/>
      </w:r>
    </w:p>
    <w:p>
      <w:pPr>
        <w:pStyle w:val="Titre1"/>
        <w:numPr>
          <w:ilvl w:val="0"/>
          <w:numId w:val="2"/>
        </w:numPr>
        <w:rPr/>
      </w:pPr>
      <w:r>
        <w:rPr/>
      </w:r>
    </w:p>
    <w:p>
      <w:pPr>
        <w:pStyle w:val="Titre1"/>
        <w:numPr>
          <w:ilvl w:val="0"/>
          <w:numId w:val="2"/>
        </w:numPr>
        <w:rPr/>
      </w:pPr>
      <w:r>
        <w:rPr/>
      </w:r>
    </w:p>
    <w:p>
      <w:pPr>
        <w:pStyle w:val="Titre1"/>
        <w:numPr>
          <w:ilvl w:val="0"/>
          <w:numId w:val="2"/>
        </w:numPr>
        <w:rPr/>
      </w:pPr>
      <w:r>
        <w:rPr/>
      </w:r>
    </w:p>
    <w:p>
      <w:pPr>
        <w:pStyle w:val="Titre1"/>
        <w:numPr>
          <w:ilvl w:val="0"/>
          <w:numId w:val="2"/>
        </w:numPr>
        <w:rPr/>
      </w:pPr>
      <w:r>
        <w:rPr/>
        <w:t>Isochrones dynamiques</w:t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  <w:t>Cet outil (icône en forme de fleur) permet la création d’isochrones (en secondes), avec quelques restrictions :</w:t>
      </w:r>
    </w:p>
    <w:p>
      <w:pPr>
        <w:pStyle w:val="Corpsdetexte"/>
        <w:numPr>
          <w:ilvl w:val="0"/>
          <w:numId w:val="10"/>
        </w:numPr>
        <w:rPr/>
      </w:pPr>
      <w:r>
        <w:rPr/>
        <w:t>maximum 3600 secondes (1 heure)</w:t>
      </w:r>
    </w:p>
    <w:p>
      <w:pPr>
        <w:pStyle w:val="Corpsdetexte"/>
        <w:numPr>
          <w:ilvl w:val="0"/>
          <w:numId w:val="10"/>
        </w:numPr>
        <w:rPr/>
      </w:pPr>
      <w:r>
        <w:rPr/>
        <w:t>maximum 10 isochrones</w:t>
      </w:r>
    </w:p>
    <w:p>
      <w:pPr>
        <w:pStyle w:val="Corpsdetexte"/>
        <w:numPr>
          <w:ilvl w:val="0"/>
          <w:numId w:val="10"/>
        </w:numPr>
        <w:rPr/>
      </w:pPr>
      <w:r>
        <w:rPr/>
        <w:t>maximum 1 point origine</w:t>
      </w:r>
    </w:p>
    <w:p>
      <w:pPr>
        <w:pStyle w:val="Corpsdetexte"/>
        <w:numPr>
          <w:ilvl w:val="0"/>
          <w:numId w:val="10"/>
        </w:numPr>
        <w:rPr/>
      </w:pPr>
      <w:r>
        <w:rPr/>
        <w:t>pas d’espace dans le champs texte</w:t>
      </w:r>
    </w:p>
    <w:p>
      <w:pPr>
        <w:pStyle w:val="Corpsdetexte"/>
        <w:numPr>
          <w:ilvl w:val="0"/>
          <w:numId w:val="10"/>
        </w:numPr>
        <w:rPr/>
      </w:pPr>
      <w:r>
        <w:rPr/>
        <w:t>isochrones séparées par des virgules</w:t>
      </w:r>
    </w:p>
    <w:p>
      <w:pPr>
        <w:pStyle w:val="Corpsdetexte"/>
        <w:numPr>
          <w:ilvl w:val="0"/>
          <w:numId w:val="10"/>
        </w:numPr>
        <w:rPr/>
      </w:pPr>
      <w:r>
        <w:rPr/>
        <w:t>si un seul isochrone est mentionné, il est automatiquement subdivisé en 10 isochrones équitemporels. Exemple (voir image) : 3600 sera subdivisé en 10 isochrones de 6, 12, 18,…, 60 minutes</w:t>
      </w:r>
    </w:p>
    <w:p>
      <w:pPr>
        <w:pStyle w:val="Corpsdetexte"/>
        <w:rPr/>
      </w:pPr>
      <w:r>
        <w:rPr/>
        <w:t xml:space="preserve">L’ordre dans lequel sont mentionnés les isochrones n’a pas d’importance : on peut tout aussi bien écrire </w:t>
      </w:r>
      <w:r>
        <w:rPr>
          <w:b/>
          <w:bCs/>
        </w:rPr>
        <w:t>100,200,300</w:t>
      </w:r>
      <w:r>
        <w:rPr/>
        <w:t xml:space="preserve"> que </w:t>
      </w:r>
      <w:r>
        <w:rPr>
          <w:b/>
          <w:bCs/>
        </w:rPr>
        <w:t>200,100,300</w:t>
      </w:r>
      <w:r>
        <w:rPr/>
        <w:t xml:space="preserve"> ou même </w:t>
      </w:r>
      <w:r>
        <w:rPr>
          <w:b/>
          <w:bCs/>
        </w:rPr>
        <w:t>300,200,100</w:t>
      </w:r>
      <w:r>
        <w:rPr>
          <w:b w:val="false"/>
          <w:bCs w:val="false"/>
        </w:rPr>
        <w:t>.</w:t>
      </w:r>
    </w:p>
    <w:p>
      <w:pPr>
        <w:pStyle w:val="Corpsdetexte"/>
        <w:rPr/>
      </w:pPr>
      <w:r>
        <w:rPr>
          <w:b w:val="false"/>
          <w:bCs w:val="false"/>
        </w:rPr>
        <w:t>Une fois la liste écrite, cliquer sur la carte à l’endroit voulu.</w:t>
      </w:r>
    </w:p>
    <w:p>
      <w:pPr>
        <w:pStyle w:val="Corpsdetexte"/>
        <w:rPr>
          <w:b w:val="false"/>
          <w:b w:val="false"/>
          <w:bCs w:val="false"/>
        </w:rPr>
      </w:pPr>
      <w:r>
        <w:rPr>
          <w:b w:val="false"/>
          <w:bCs w:val="false"/>
        </w:rPr>
        <w:t>On peut en créer autant qu’on veut.</w:t>
      </w:r>
    </w:p>
    <w:p>
      <w:pPr>
        <w:pStyle w:val="Corpsdetexte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Corpsdetexte"/>
        <w:spacing w:before="0" w:after="140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52160" cy="267906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DejaVu Sans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itre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2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0"/>
        <w:szCs w:val="24"/>
        <w:lang w:val="fr-B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fr-BE" w:eastAsia="zh-CN" w:bidi="hi-IN"/>
    </w:rPr>
  </w:style>
  <w:style w:type="paragraph" w:styleId="Titre1">
    <w:name w:val="Heading 1"/>
    <w:basedOn w:val="Titre"/>
    <w:next w:val="Corpsdetexte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ascii="Liberation Sans" w:hAnsi="Liberation Sans"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ascii="Liberation Sans" w:hAnsi="Liberation Sans" w:cs="OpenSymbol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Open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cs="OpenSymbol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cs="OpenSymbol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cs="OpenSymbol"/>
    </w:rPr>
  </w:style>
  <w:style w:type="character" w:styleId="ListLabel108">
    <w:name w:val="ListLabel 108"/>
    <w:qFormat/>
    <w:rPr>
      <w:rFonts w:cs="OpenSymbol"/>
    </w:rPr>
  </w:style>
  <w:style w:type="character" w:styleId="ListLabel109">
    <w:name w:val="ListLabel 109"/>
    <w:qFormat/>
    <w:rPr>
      <w:rFonts w:cs="OpenSymbol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OpenSymbol"/>
    </w:rPr>
  </w:style>
  <w:style w:type="character" w:styleId="ListLabel112">
    <w:name w:val="ListLabel 112"/>
    <w:qFormat/>
    <w:rPr>
      <w:rFonts w:cs="OpenSymbol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OpenSymbol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cs="OpenSymbol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cs="OpenSymbol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ascii="Liberation Sans" w:hAnsi="Liberation Sans" w:cs="OpenSymbol"/>
    </w:rPr>
  </w:style>
  <w:style w:type="character" w:styleId="ListLabel128">
    <w:name w:val="ListLabel 128"/>
    <w:qFormat/>
    <w:rPr>
      <w:rFonts w:cs="OpenSymbol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cs="OpenSymbol"/>
    </w:rPr>
  </w:style>
  <w:style w:type="character" w:styleId="ListLabel134">
    <w:name w:val="ListLabel 134"/>
    <w:qFormat/>
    <w:rPr>
      <w:rFonts w:cs="Open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cs="OpenSymbol"/>
    </w:rPr>
  </w:style>
  <w:style w:type="character" w:styleId="ListLabel137">
    <w:name w:val="ListLabel 137"/>
    <w:qFormat/>
    <w:rPr>
      <w:rFonts w:cs="OpenSymbol"/>
    </w:rPr>
  </w:style>
  <w:style w:type="character" w:styleId="ListLabel138">
    <w:name w:val="ListLabel 138"/>
    <w:qFormat/>
    <w:rPr>
      <w:rFonts w:cs="OpenSymbol"/>
    </w:rPr>
  </w:style>
  <w:style w:type="character" w:styleId="ListLabel139">
    <w:name w:val="ListLabel 139"/>
    <w:qFormat/>
    <w:rPr>
      <w:rFonts w:cs="OpenSymbol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OpenSymbol"/>
    </w:rPr>
  </w:style>
  <w:style w:type="character" w:styleId="ListLabel142">
    <w:name w:val="ListLabel 142"/>
    <w:qFormat/>
    <w:rPr>
      <w:rFonts w:cs="OpenSymbol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OpenSymbol"/>
    </w:rPr>
  </w:style>
  <w:style w:type="character" w:styleId="ListLabel145">
    <w:name w:val="ListLabel 145"/>
    <w:qFormat/>
    <w:rPr>
      <w:rFonts w:cs="OpenSymbol"/>
    </w:rPr>
  </w:style>
  <w:style w:type="character" w:styleId="ListLabel146">
    <w:name w:val="ListLabel 146"/>
    <w:qFormat/>
    <w:rPr>
      <w:rFonts w:cs="OpenSymbol"/>
    </w:rPr>
  </w:style>
  <w:style w:type="character" w:styleId="ListLabel147">
    <w:name w:val="ListLabel 147"/>
    <w:qFormat/>
    <w:rPr>
      <w:rFonts w:cs="OpenSymbol"/>
    </w:rPr>
  </w:style>
  <w:style w:type="character" w:styleId="ListLabel148">
    <w:name w:val="ListLabel 148"/>
    <w:qFormat/>
    <w:rPr>
      <w:rFonts w:cs="OpenSymbol"/>
    </w:rPr>
  </w:style>
  <w:style w:type="character" w:styleId="ListLabel149">
    <w:name w:val="ListLabel 149"/>
    <w:qFormat/>
    <w:rPr>
      <w:rFonts w:cs="OpenSymbol"/>
    </w:rPr>
  </w:style>
  <w:style w:type="character" w:styleId="ListLabel150">
    <w:name w:val="ListLabel 150"/>
    <w:qFormat/>
    <w:rPr>
      <w:rFonts w:cs="OpenSymbol"/>
    </w:rPr>
  </w:style>
  <w:style w:type="character" w:styleId="ListLabel151">
    <w:name w:val="ListLabel 151"/>
    <w:qFormat/>
    <w:rPr>
      <w:rFonts w:cs="OpenSymbol"/>
    </w:rPr>
  </w:style>
  <w:style w:type="character" w:styleId="ListLabel152">
    <w:name w:val="ListLabel 152"/>
    <w:qFormat/>
    <w:rPr>
      <w:rFonts w:cs="OpenSymbol"/>
    </w:rPr>
  </w:style>
  <w:style w:type="character" w:styleId="ListLabel153">
    <w:name w:val="ListLabel 153"/>
    <w:qFormat/>
    <w:rPr>
      <w:rFonts w:cs="OpenSymbol"/>
    </w:rPr>
  </w:style>
  <w:style w:type="character" w:styleId="ListLabel154">
    <w:name w:val="ListLabel 154"/>
    <w:qFormat/>
    <w:rPr>
      <w:rFonts w:cs="OpenSymbol"/>
    </w:rPr>
  </w:style>
  <w:style w:type="character" w:styleId="ListLabel155">
    <w:name w:val="ListLabel 155"/>
    <w:qFormat/>
    <w:rPr>
      <w:rFonts w:cs="OpenSymbol"/>
    </w:rPr>
  </w:style>
  <w:style w:type="character" w:styleId="ListLabel156">
    <w:name w:val="ListLabel 156"/>
    <w:qFormat/>
    <w:rPr>
      <w:rFonts w:cs="OpenSymbol"/>
    </w:rPr>
  </w:style>
  <w:style w:type="character" w:styleId="ListLabel157">
    <w:name w:val="ListLabel 157"/>
    <w:qFormat/>
    <w:rPr>
      <w:rFonts w:cs="OpenSymbol"/>
    </w:rPr>
  </w:style>
  <w:style w:type="character" w:styleId="ListLabel158">
    <w:name w:val="ListLabel 158"/>
    <w:qFormat/>
    <w:rPr>
      <w:rFonts w:cs="OpenSymbol"/>
    </w:rPr>
  </w:style>
  <w:style w:type="character" w:styleId="ListLabel159">
    <w:name w:val="ListLabel 159"/>
    <w:qFormat/>
    <w:rPr>
      <w:rFonts w:cs="OpenSymbol"/>
    </w:rPr>
  </w:style>
  <w:style w:type="character" w:styleId="ListLabel160">
    <w:name w:val="ListLabel 160"/>
    <w:qFormat/>
    <w:rPr>
      <w:rFonts w:cs="OpenSymbol"/>
    </w:rPr>
  </w:style>
  <w:style w:type="character" w:styleId="ListLabel161">
    <w:name w:val="ListLabel 161"/>
    <w:qFormat/>
    <w:rPr>
      <w:rFonts w:cs="OpenSymbol"/>
    </w:rPr>
  </w:style>
  <w:style w:type="character" w:styleId="ListLabel162">
    <w:name w:val="ListLabel 162"/>
    <w:qFormat/>
    <w:rPr>
      <w:rFonts w:cs="OpenSymbol"/>
    </w:rPr>
  </w:style>
  <w:style w:type="character" w:styleId="ListLabel163">
    <w:name w:val="ListLabel 163"/>
    <w:qFormat/>
    <w:rPr>
      <w:rFonts w:cs="OpenSymbol"/>
      <w:b/>
    </w:rPr>
  </w:style>
  <w:style w:type="character" w:styleId="ListLabel164">
    <w:name w:val="ListLabel 164"/>
    <w:qFormat/>
    <w:rPr>
      <w:rFonts w:cs="OpenSymbol"/>
    </w:rPr>
  </w:style>
  <w:style w:type="character" w:styleId="ListLabel165">
    <w:name w:val="ListLabel 165"/>
    <w:qFormat/>
    <w:rPr>
      <w:rFonts w:cs="OpenSymbol"/>
    </w:rPr>
  </w:style>
  <w:style w:type="character" w:styleId="ListLabel166">
    <w:name w:val="ListLabel 166"/>
    <w:qFormat/>
    <w:rPr>
      <w:rFonts w:cs="OpenSymbol"/>
    </w:rPr>
  </w:style>
  <w:style w:type="character" w:styleId="ListLabel167">
    <w:name w:val="ListLabel 167"/>
    <w:qFormat/>
    <w:rPr>
      <w:rFonts w:cs="OpenSymbol"/>
    </w:rPr>
  </w:style>
  <w:style w:type="character" w:styleId="ListLabel168">
    <w:name w:val="ListLabel 168"/>
    <w:qFormat/>
    <w:rPr>
      <w:rFonts w:cs="OpenSymbol"/>
    </w:rPr>
  </w:style>
  <w:style w:type="character" w:styleId="ListLabel169">
    <w:name w:val="ListLabel 169"/>
    <w:qFormat/>
    <w:rPr>
      <w:rFonts w:cs="OpenSymbol"/>
    </w:rPr>
  </w:style>
  <w:style w:type="character" w:styleId="ListLabel170">
    <w:name w:val="ListLabel 170"/>
    <w:qFormat/>
    <w:rPr>
      <w:rFonts w:cs="OpenSymbol"/>
    </w:rPr>
  </w:style>
  <w:style w:type="character" w:styleId="ListLabel171">
    <w:name w:val="ListLabel 171"/>
    <w:qFormat/>
    <w:rPr>
      <w:rFonts w:cs="OpenSymbol"/>
    </w:rPr>
  </w:style>
  <w:style w:type="character" w:styleId="ListLabel172">
    <w:name w:val="ListLabel 172"/>
    <w:qFormat/>
    <w:rPr>
      <w:rFonts w:cs="OpenSymbol"/>
    </w:rPr>
  </w:style>
  <w:style w:type="character" w:styleId="ListLabel173">
    <w:name w:val="ListLabel 173"/>
    <w:qFormat/>
    <w:rPr>
      <w:rFonts w:cs="OpenSymbol"/>
    </w:rPr>
  </w:style>
  <w:style w:type="character" w:styleId="ListLabel174">
    <w:name w:val="ListLabel 174"/>
    <w:qFormat/>
    <w:rPr>
      <w:rFonts w:cs="OpenSymbol"/>
    </w:rPr>
  </w:style>
  <w:style w:type="character" w:styleId="ListLabel175">
    <w:name w:val="ListLabel 175"/>
    <w:qFormat/>
    <w:rPr>
      <w:rFonts w:cs="OpenSymbol"/>
    </w:rPr>
  </w:style>
  <w:style w:type="character" w:styleId="ListLabel176">
    <w:name w:val="ListLabel 176"/>
    <w:qFormat/>
    <w:rPr>
      <w:rFonts w:cs="OpenSymbol"/>
    </w:rPr>
  </w:style>
  <w:style w:type="character" w:styleId="ListLabel177">
    <w:name w:val="ListLabel 177"/>
    <w:qFormat/>
    <w:rPr>
      <w:rFonts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cs="OpenSymbol"/>
    </w:rPr>
  </w:style>
  <w:style w:type="character" w:styleId="ListLabel180">
    <w:name w:val="ListLabel 180"/>
    <w:qFormat/>
    <w:rPr>
      <w:rFonts w:cs="OpenSymbol"/>
    </w:rPr>
  </w:style>
  <w:style w:type="character" w:styleId="ListLabel181">
    <w:name w:val="ListLabel 181"/>
    <w:qFormat/>
    <w:rPr>
      <w:rFonts w:cs="OpenSymbol"/>
    </w:rPr>
  </w:style>
  <w:style w:type="character" w:styleId="ListLabel182">
    <w:name w:val="ListLabel 182"/>
    <w:qFormat/>
    <w:rPr>
      <w:rFonts w:cs="OpenSymbol"/>
    </w:rPr>
  </w:style>
  <w:style w:type="character" w:styleId="ListLabel183">
    <w:name w:val="ListLabel 183"/>
    <w:qFormat/>
    <w:rPr>
      <w:rFonts w:cs="OpenSymbol"/>
    </w:rPr>
  </w:style>
  <w:style w:type="character" w:styleId="ListLabel184">
    <w:name w:val="ListLabel 184"/>
    <w:qFormat/>
    <w:rPr>
      <w:rFonts w:cs="OpenSymbol"/>
    </w:rPr>
  </w:style>
  <w:style w:type="character" w:styleId="ListLabel185">
    <w:name w:val="ListLabel 185"/>
    <w:qFormat/>
    <w:rPr>
      <w:rFonts w:cs="OpenSymbol"/>
    </w:rPr>
  </w:style>
  <w:style w:type="character" w:styleId="ListLabel186">
    <w:name w:val="ListLabel 186"/>
    <w:qFormat/>
    <w:rPr>
      <w:rFonts w:cs="OpenSymbol"/>
    </w:rPr>
  </w:style>
  <w:style w:type="character" w:styleId="ListLabel187">
    <w:name w:val="ListLabel 187"/>
    <w:qFormat/>
    <w:rPr>
      <w:rFonts w:cs="OpenSymbol"/>
    </w:rPr>
  </w:style>
  <w:style w:type="character" w:styleId="ListLabel188">
    <w:name w:val="ListLabel 188"/>
    <w:qFormat/>
    <w:rPr>
      <w:rFonts w:cs="OpenSymbol"/>
    </w:rPr>
  </w:style>
  <w:style w:type="character" w:styleId="ListLabel189">
    <w:name w:val="ListLabel 189"/>
    <w:qFormat/>
    <w:rPr>
      <w:rFonts w:cs="OpenSymbol"/>
    </w:rPr>
  </w:style>
  <w:style w:type="character" w:styleId="ListLabel190">
    <w:name w:val="ListLabel 190"/>
    <w:qFormat/>
    <w:rPr>
      <w:rFonts w:ascii="Liberation Sans" w:hAnsi="Liberation Sans" w:cs="OpenSymbol"/>
    </w:rPr>
  </w:style>
  <w:style w:type="character" w:styleId="ListLabel191">
    <w:name w:val="ListLabel 191"/>
    <w:qFormat/>
    <w:rPr>
      <w:rFonts w:cs="OpenSymbol"/>
    </w:rPr>
  </w:style>
  <w:style w:type="character" w:styleId="ListLabel192">
    <w:name w:val="ListLabel 192"/>
    <w:qFormat/>
    <w:rPr>
      <w:rFonts w:cs="OpenSymbol"/>
    </w:rPr>
  </w:style>
  <w:style w:type="character" w:styleId="ListLabel193">
    <w:name w:val="ListLabel 193"/>
    <w:qFormat/>
    <w:rPr>
      <w:rFonts w:cs="OpenSymbol"/>
    </w:rPr>
  </w:style>
  <w:style w:type="character" w:styleId="ListLabel194">
    <w:name w:val="ListLabel 194"/>
    <w:qFormat/>
    <w:rPr>
      <w:rFonts w:cs="OpenSymbol"/>
    </w:rPr>
  </w:style>
  <w:style w:type="character" w:styleId="ListLabel195">
    <w:name w:val="ListLabel 195"/>
    <w:qFormat/>
    <w:rPr>
      <w:rFonts w:cs="OpenSymbol"/>
    </w:rPr>
  </w:style>
  <w:style w:type="character" w:styleId="ListLabel196">
    <w:name w:val="ListLabel 196"/>
    <w:qFormat/>
    <w:rPr>
      <w:rFonts w:cs="OpenSymbol"/>
    </w:rPr>
  </w:style>
  <w:style w:type="character" w:styleId="ListLabel197">
    <w:name w:val="ListLabel 197"/>
    <w:qFormat/>
    <w:rPr>
      <w:rFonts w:cs="OpenSymbol"/>
    </w:rPr>
  </w:style>
  <w:style w:type="character" w:styleId="ListLabel198">
    <w:name w:val="ListLabel 198"/>
    <w:qFormat/>
    <w:rPr>
      <w:rFonts w:cs="OpenSymbol"/>
    </w:rPr>
  </w:style>
  <w:style w:type="character" w:styleId="ListLabel199">
    <w:name w:val="ListLabel 199"/>
    <w:qFormat/>
    <w:rPr>
      <w:rFonts w:cs="OpenSymbol"/>
    </w:rPr>
  </w:style>
  <w:style w:type="character" w:styleId="ListLabel200">
    <w:name w:val="ListLabel 200"/>
    <w:qFormat/>
    <w:rPr>
      <w:rFonts w:cs="OpenSymbol"/>
    </w:rPr>
  </w:style>
  <w:style w:type="character" w:styleId="ListLabel201">
    <w:name w:val="ListLabel 201"/>
    <w:qFormat/>
    <w:rPr>
      <w:rFonts w:cs="OpenSymbol"/>
    </w:rPr>
  </w:style>
  <w:style w:type="character" w:styleId="ListLabel202">
    <w:name w:val="ListLabel 202"/>
    <w:qFormat/>
    <w:rPr>
      <w:rFonts w:cs="OpenSymbol"/>
    </w:rPr>
  </w:style>
  <w:style w:type="character" w:styleId="ListLabel203">
    <w:name w:val="ListLabel 203"/>
    <w:qFormat/>
    <w:rPr>
      <w:rFonts w:cs="OpenSymbol"/>
    </w:rPr>
  </w:style>
  <w:style w:type="character" w:styleId="ListLabel204">
    <w:name w:val="ListLabel 204"/>
    <w:qFormat/>
    <w:rPr>
      <w:rFonts w:cs="OpenSymbol"/>
    </w:rPr>
  </w:style>
  <w:style w:type="character" w:styleId="ListLabel205">
    <w:name w:val="ListLabel 205"/>
    <w:qFormat/>
    <w:rPr>
      <w:rFonts w:cs="OpenSymbol"/>
    </w:rPr>
  </w:style>
  <w:style w:type="character" w:styleId="ListLabel206">
    <w:name w:val="ListLabel 206"/>
    <w:qFormat/>
    <w:rPr>
      <w:rFonts w:cs="OpenSymbol"/>
    </w:rPr>
  </w:style>
  <w:style w:type="character" w:styleId="ListLabel207">
    <w:name w:val="ListLabel 207"/>
    <w:qFormat/>
    <w:rPr>
      <w:rFonts w:cs="OpenSymbol"/>
    </w:rPr>
  </w:style>
  <w:style w:type="character" w:styleId="ListLabel208">
    <w:name w:val="ListLabel 208"/>
    <w:qFormat/>
    <w:rPr>
      <w:rFonts w:cs="OpenSymbol"/>
    </w:rPr>
  </w:style>
  <w:style w:type="character" w:styleId="ListLabel209">
    <w:name w:val="ListLabel 209"/>
    <w:qFormat/>
    <w:rPr>
      <w:rFonts w:cs="OpenSymbol"/>
    </w:rPr>
  </w:style>
  <w:style w:type="character" w:styleId="ListLabel210">
    <w:name w:val="ListLabel 210"/>
    <w:qFormat/>
    <w:rPr>
      <w:rFonts w:cs="OpenSymbol"/>
    </w:rPr>
  </w:style>
  <w:style w:type="character" w:styleId="ListLabel211">
    <w:name w:val="ListLabel 211"/>
    <w:qFormat/>
    <w:rPr>
      <w:rFonts w:cs="OpenSymbol"/>
    </w:rPr>
  </w:style>
  <w:style w:type="character" w:styleId="ListLabel212">
    <w:name w:val="ListLabel 212"/>
    <w:qFormat/>
    <w:rPr>
      <w:rFonts w:cs="OpenSymbol"/>
    </w:rPr>
  </w:style>
  <w:style w:type="character" w:styleId="ListLabel213">
    <w:name w:val="ListLabel 213"/>
    <w:qFormat/>
    <w:rPr>
      <w:rFonts w:cs="OpenSymbol"/>
    </w:rPr>
  </w:style>
  <w:style w:type="character" w:styleId="ListLabel214">
    <w:name w:val="ListLabel 214"/>
    <w:qFormat/>
    <w:rPr>
      <w:rFonts w:cs="OpenSymbol"/>
    </w:rPr>
  </w:style>
  <w:style w:type="character" w:styleId="ListLabel215">
    <w:name w:val="ListLabel 215"/>
    <w:qFormat/>
    <w:rPr>
      <w:rFonts w:cs="OpenSymbol"/>
    </w:rPr>
  </w:style>
  <w:style w:type="character" w:styleId="ListLabel216">
    <w:name w:val="ListLabel 216"/>
    <w:qFormat/>
    <w:rPr>
      <w:rFonts w:cs="OpenSymbol"/>
    </w:rPr>
  </w:style>
  <w:style w:type="character" w:styleId="ListLabel217">
    <w:name w:val="ListLabel 217"/>
    <w:qFormat/>
    <w:rPr>
      <w:rFonts w:cs="OpenSymbol"/>
    </w:rPr>
  </w:style>
  <w:style w:type="character" w:styleId="ListLabel218">
    <w:name w:val="ListLabel 218"/>
    <w:qFormat/>
    <w:rPr>
      <w:rFonts w:cs="OpenSymbol"/>
    </w:rPr>
  </w:style>
  <w:style w:type="character" w:styleId="ListLabel219">
    <w:name w:val="ListLabel 219"/>
    <w:qFormat/>
    <w:rPr>
      <w:rFonts w:cs="OpenSymbol"/>
    </w:rPr>
  </w:style>
  <w:style w:type="character" w:styleId="ListLabel220">
    <w:name w:val="ListLabel 220"/>
    <w:qFormat/>
    <w:rPr>
      <w:rFonts w:cs="OpenSymbol"/>
    </w:rPr>
  </w:style>
  <w:style w:type="character" w:styleId="ListLabel221">
    <w:name w:val="ListLabel 221"/>
    <w:qFormat/>
    <w:rPr>
      <w:rFonts w:cs="OpenSymbol"/>
    </w:rPr>
  </w:style>
  <w:style w:type="character" w:styleId="ListLabel222">
    <w:name w:val="ListLabel 222"/>
    <w:qFormat/>
    <w:rPr>
      <w:rFonts w:cs="OpenSymbol"/>
    </w:rPr>
  </w:style>
  <w:style w:type="character" w:styleId="ListLabel223">
    <w:name w:val="ListLabel 223"/>
    <w:qFormat/>
    <w:rPr>
      <w:rFonts w:cs="OpenSymbol"/>
    </w:rPr>
  </w:style>
  <w:style w:type="character" w:styleId="ListLabel224">
    <w:name w:val="ListLabel 224"/>
    <w:qFormat/>
    <w:rPr>
      <w:rFonts w:cs="OpenSymbol"/>
    </w:rPr>
  </w:style>
  <w:style w:type="character" w:styleId="ListLabel225">
    <w:name w:val="ListLabel 225"/>
    <w:qFormat/>
    <w:rPr>
      <w:rFonts w:cs="OpenSymbol"/>
    </w:rPr>
  </w:style>
  <w:style w:type="character" w:styleId="ListLabel226">
    <w:name w:val="ListLabel 226"/>
    <w:qFormat/>
    <w:rPr>
      <w:rFonts w:cs="OpenSymbol"/>
      <w:b/>
    </w:rPr>
  </w:style>
  <w:style w:type="character" w:styleId="ListLabel227">
    <w:name w:val="ListLabel 227"/>
    <w:qFormat/>
    <w:rPr>
      <w:rFonts w:cs="OpenSymbol"/>
    </w:rPr>
  </w:style>
  <w:style w:type="character" w:styleId="ListLabel228">
    <w:name w:val="ListLabel 228"/>
    <w:qFormat/>
    <w:rPr>
      <w:rFonts w:cs="OpenSymbol"/>
    </w:rPr>
  </w:style>
  <w:style w:type="character" w:styleId="ListLabel229">
    <w:name w:val="ListLabel 229"/>
    <w:qFormat/>
    <w:rPr>
      <w:rFonts w:cs="OpenSymbol"/>
    </w:rPr>
  </w:style>
  <w:style w:type="character" w:styleId="ListLabel230">
    <w:name w:val="ListLabel 230"/>
    <w:qFormat/>
    <w:rPr>
      <w:rFonts w:cs="OpenSymbol"/>
    </w:rPr>
  </w:style>
  <w:style w:type="character" w:styleId="ListLabel231">
    <w:name w:val="ListLabel 231"/>
    <w:qFormat/>
    <w:rPr>
      <w:rFonts w:cs="OpenSymbol"/>
    </w:rPr>
  </w:style>
  <w:style w:type="character" w:styleId="ListLabel232">
    <w:name w:val="ListLabel 232"/>
    <w:qFormat/>
    <w:rPr>
      <w:rFonts w:cs="OpenSymbol"/>
    </w:rPr>
  </w:style>
  <w:style w:type="character" w:styleId="ListLabel233">
    <w:name w:val="ListLabel 233"/>
    <w:qFormat/>
    <w:rPr>
      <w:rFonts w:cs="OpenSymbol"/>
    </w:rPr>
  </w:style>
  <w:style w:type="character" w:styleId="ListLabel234">
    <w:name w:val="ListLabel 234"/>
    <w:qFormat/>
    <w:rPr>
      <w:rFonts w:cs="OpenSymbol"/>
    </w:rPr>
  </w:style>
  <w:style w:type="character" w:styleId="ListLabel235">
    <w:name w:val="ListLabel 235"/>
    <w:qFormat/>
    <w:rPr>
      <w:rFonts w:cs="OpenSymbol"/>
    </w:rPr>
  </w:style>
  <w:style w:type="character" w:styleId="ListLabel236">
    <w:name w:val="ListLabel 236"/>
    <w:qFormat/>
    <w:rPr>
      <w:rFonts w:cs="OpenSymbol"/>
    </w:rPr>
  </w:style>
  <w:style w:type="character" w:styleId="ListLabel237">
    <w:name w:val="ListLabel 237"/>
    <w:qFormat/>
    <w:rPr>
      <w:rFonts w:cs="OpenSymbol"/>
    </w:rPr>
  </w:style>
  <w:style w:type="character" w:styleId="ListLabel238">
    <w:name w:val="ListLabel 238"/>
    <w:qFormat/>
    <w:rPr>
      <w:rFonts w:cs="OpenSymbol"/>
    </w:rPr>
  </w:style>
  <w:style w:type="character" w:styleId="ListLabel239">
    <w:name w:val="ListLabel 239"/>
    <w:qFormat/>
    <w:rPr>
      <w:rFonts w:cs="OpenSymbol"/>
    </w:rPr>
  </w:style>
  <w:style w:type="character" w:styleId="ListLabel240">
    <w:name w:val="ListLabel 240"/>
    <w:qFormat/>
    <w:rPr>
      <w:rFonts w:cs="OpenSymbol"/>
    </w:rPr>
  </w:style>
  <w:style w:type="character" w:styleId="ListLabel241">
    <w:name w:val="ListLabel 241"/>
    <w:qFormat/>
    <w:rPr>
      <w:rFonts w:cs="OpenSymbol"/>
    </w:rPr>
  </w:style>
  <w:style w:type="character" w:styleId="ListLabel242">
    <w:name w:val="ListLabel 242"/>
    <w:qFormat/>
    <w:rPr>
      <w:rFonts w:cs="OpenSymbol"/>
    </w:rPr>
  </w:style>
  <w:style w:type="character" w:styleId="ListLabel243">
    <w:name w:val="ListLabel 243"/>
    <w:qFormat/>
    <w:rPr>
      <w:rFonts w:cs="OpenSymbol"/>
    </w:rPr>
  </w:style>
  <w:style w:type="character" w:styleId="ListLabel244">
    <w:name w:val="ListLabel 244"/>
    <w:qFormat/>
    <w:rPr>
      <w:rFonts w:cs="OpenSymbol"/>
    </w:rPr>
  </w:style>
  <w:style w:type="character" w:styleId="ListLabel245">
    <w:name w:val="ListLabel 245"/>
    <w:qFormat/>
    <w:rPr>
      <w:rFonts w:cs="OpenSymbol"/>
    </w:rPr>
  </w:style>
  <w:style w:type="character" w:styleId="ListLabel246">
    <w:name w:val="ListLabel 246"/>
    <w:qFormat/>
    <w:rPr>
      <w:rFonts w:cs="OpenSymbol"/>
    </w:rPr>
  </w:style>
  <w:style w:type="character" w:styleId="ListLabel247">
    <w:name w:val="ListLabel 247"/>
    <w:qFormat/>
    <w:rPr>
      <w:rFonts w:cs="OpenSymbol"/>
    </w:rPr>
  </w:style>
  <w:style w:type="character" w:styleId="ListLabel248">
    <w:name w:val="ListLabel 248"/>
    <w:qFormat/>
    <w:rPr>
      <w:rFonts w:cs="OpenSymbol"/>
    </w:rPr>
  </w:style>
  <w:style w:type="character" w:styleId="ListLabel249">
    <w:name w:val="ListLabel 249"/>
    <w:qFormat/>
    <w:rPr>
      <w:rFonts w:cs="OpenSymbol"/>
    </w:rPr>
  </w:style>
  <w:style w:type="character" w:styleId="ListLabel250">
    <w:name w:val="ListLabel 250"/>
    <w:qFormat/>
    <w:rPr>
      <w:rFonts w:cs="OpenSymbol"/>
    </w:rPr>
  </w:style>
  <w:style w:type="character" w:styleId="ListLabel251">
    <w:name w:val="ListLabel 251"/>
    <w:qFormat/>
    <w:rPr>
      <w:rFonts w:cs="OpenSymbol"/>
    </w:rPr>
  </w:style>
  <w:style w:type="character" w:styleId="ListLabel252">
    <w:name w:val="ListLabel 252"/>
    <w:qFormat/>
    <w:rPr>
      <w:rFonts w:cs="OpenSymbol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geoportail.interreg-alarm.eu/mapfishapp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1242</TotalTime>
  <Application>LibreOffice/6.1.5.2$Linux_X86_64 LibreOffice_project/10$Build-2</Application>
  <Pages>6</Pages>
  <Words>940</Words>
  <Characters>4546</Characters>
  <CharactersWithSpaces>5400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2021-05-25T10:50:45Z</dcterms:created>
  <dc:creator/>
  <dc:description/>
  <dc:language>fr-BE</dc:language>
  <cp:lastModifiedBy/>
  <dcterms:modified xsi:type="dcterms:W3CDTF">2021-06-18T11:15:57Z</dcterms:modified>
  <cp:revision>51</cp:revision>
  <dc:subject/>
  <dc:title/>
</cp:coreProperties>
</file>